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7BB" w:rsidRDefault="007807BB">
      <w:pPr>
        <w:spacing w:after="0" w:line="259" w:lineRule="auto"/>
        <w:ind w:left="-1442" w:right="10546" w:firstLine="0"/>
        <w:jc w:val="left"/>
      </w:pPr>
    </w:p>
    <w:p w:rsidR="007807BB" w:rsidRPr="007807BB" w:rsidRDefault="007807BB" w:rsidP="007807BB"/>
    <w:p w:rsidR="007807BB" w:rsidRPr="007807BB" w:rsidRDefault="007807BB" w:rsidP="007807BB"/>
    <w:p w:rsidR="007807BB" w:rsidRPr="007807BB" w:rsidRDefault="007807BB" w:rsidP="007807BB"/>
    <w:p w:rsidR="007807BB" w:rsidRPr="007807BB" w:rsidRDefault="007807BB" w:rsidP="007807BB"/>
    <w:p w:rsidR="007807BB" w:rsidRPr="007807BB" w:rsidRDefault="007807BB" w:rsidP="007807BB"/>
    <w:p w:rsidR="007807BB" w:rsidRPr="007807BB" w:rsidRDefault="007807BB" w:rsidP="007807BB"/>
    <w:p w:rsidR="007807BB" w:rsidRPr="007807BB" w:rsidRDefault="007807BB" w:rsidP="007807BB"/>
    <w:p w:rsidR="007807BB" w:rsidRPr="007807BB" w:rsidRDefault="007807BB" w:rsidP="007807BB"/>
    <w:p w:rsidR="007807BB" w:rsidRDefault="007807BB" w:rsidP="007807BB"/>
    <w:p w:rsidR="00AD4F37" w:rsidRPr="007807BB" w:rsidRDefault="007807BB" w:rsidP="007807BB">
      <w:pPr>
        <w:tabs>
          <w:tab w:val="left" w:pos="4995"/>
        </w:tabs>
      </w:pPr>
      <w:r>
        <w:tab/>
      </w:r>
      <w:r>
        <w:tab/>
      </w:r>
    </w:p>
    <w:tbl>
      <w:tblPr>
        <w:tblStyle w:val="TableGrid"/>
        <w:tblW w:w="10355" w:type="dxa"/>
        <w:tblInd w:w="-527" w:type="dxa"/>
        <w:tblCellMar>
          <w:top w:w="32" w:type="dxa"/>
          <w:left w:w="527" w:type="dxa"/>
          <w:bottom w:w="0" w:type="dxa"/>
          <w:right w:w="115" w:type="dxa"/>
        </w:tblCellMar>
        <w:tblLook w:val="04A0" w:firstRow="1" w:lastRow="0" w:firstColumn="1" w:lastColumn="0" w:noHBand="0" w:noVBand="1"/>
      </w:tblPr>
      <w:tblGrid>
        <w:gridCol w:w="10355"/>
      </w:tblGrid>
      <w:tr w:rsidR="00AD4F37">
        <w:trPr>
          <w:trHeight w:val="13692"/>
        </w:trPr>
        <w:tc>
          <w:tcPr>
            <w:tcW w:w="10355" w:type="dxa"/>
            <w:tcBorders>
              <w:top w:val="nil"/>
              <w:left w:val="nil"/>
              <w:bottom w:val="nil"/>
              <w:right w:val="nil"/>
            </w:tcBorders>
            <w:shd w:val="clear" w:color="auto" w:fill="0065BD"/>
          </w:tcPr>
          <w:p w:rsidR="00AD4F37" w:rsidRDefault="007807BB">
            <w:pPr>
              <w:spacing w:after="235" w:line="259" w:lineRule="auto"/>
              <w:ind w:left="0" w:right="0" w:firstLine="0"/>
              <w:jc w:val="left"/>
            </w:pPr>
            <w:r>
              <w:rPr>
                <w:rFonts w:ascii="Calibri" w:eastAsia="Calibri" w:hAnsi="Calibri" w:cs="Calibri"/>
              </w:rPr>
              <w:t xml:space="preserve"> </w:t>
            </w:r>
          </w:p>
          <w:p w:rsidR="00AD4F37" w:rsidRDefault="007807BB">
            <w:pPr>
              <w:spacing w:after="616" w:line="259" w:lineRule="auto"/>
              <w:ind w:left="0" w:right="0" w:firstLine="0"/>
              <w:jc w:val="left"/>
            </w:pP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rPr>
              <w:t xml:space="preserve"> </w:t>
            </w:r>
          </w:p>
          <w:p w:rsidR="00AD4F37" w:rsidRDefault="007807BB">
            <w:pPr>
              <w:spacing w:after="116" w:line="259" w:lineRule="auto"/>
              <w:ind w:left="180" w:right="0" w:firstLine="0"/>
              <w:jc w:val="left"/>
            </w:pPr>
            <w:r>
              <w:rPr>
                <w:rFonts w:ascii="Calibri" w:eastAsia="Calibri" w:hAnsi="Calibri" w:cs="Calibri"/>
                <w:b/>
                <w:color w:val="FFFFFF"/>
                <w:sz w:val="72"/>
              </w:rPr>
              <w:t xml:space="preserve"> </w:t>
            </w:r>
          </w:p>
          <w:p w:rsidR="00AD4F37" w:rsidRDefault="007807BB">
            <w:pPr>
              <w:spacing w:after="141" w:line="259" w:lineRule="auto"/>
              <w:ind w:left="180" w:right="0" w:firstLine="0"/>
              <w:jc w:val="left"/>
            </w:pPr>
            <w:r>
              <w:rPr>
                <w:b/>
                <w:color w:val="FFFFFF"/>
                <w:sz w:val="72"/>
              </w:rPr>
              <w:t xml:space="preserve"> </w:t>
            </w:r>
          </w:p>
          <w:p w:rsidR="007807BB" w:rsidRDefault="007807BB">
            <w:pPr>
              <w:spacing w:after="0" w:line="239" w:lineRule="auto"/>
              <w:ind w:left="180" w:right="76" w:firstLine="0"/>
              <w:jc w:val="left"/>
              <w:rPr>
                <w:b/>
                <w:color w:val="FFFFFF"/>
                <w:sz w:val="72"/>
              </w:rPr>
            </w:pPr>
            <w:r>
              <w:rPr>
                <w:b/>
                <w:color w:val="FFFFFF"/>
                <w:sz w:val="72"/>
              </w:rPr>
              <w:t xml:space="preserve">       </w:t>
            </w:r>
            <w:r w:rsidRPr="00AB2EC0">
              <w:rPr>
                <w:b/>
                <w:noProof/>
                <w:sz w:val="72"/>
              </w:rPr>
              <w:drawing>
                <wp:inline distT="0" distB="0" distL="0" distR="0">
                  <wp:extent cx="3295650" cy="1162050"/>
                  <wp:effectExtent l="0" t="0" r="0" b="0"/>
                  <wp:docPr id="5" name="Picture 5" descr="Bluegate Fiel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gate Field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1162050"/>
                          </a:xfrm>
                          <a:prstGeom prst="rect">
                            <a:avLst/>
                          </a:prstGeom>
                          <a:noFill/>
                          <a:ln>
                            <a:noFill/>
                          </a:ln>
                        </pic:spPr>
                      </pic:pic>
                    </a:graphicData>
                  </a:graphic>
                </wp:inline>
              </w:drawing>
            </w:r>
          </w:p>
          <w:p w:rsidR="007807BB" w:rsidRDefault="007807BB">
            <w:pPr>
              <w:spacing w:after="0" w:line="239" w:lineRule="auto"/>
              <w:ind w:left="180" w:right="76" w:firstLine="0"/>
              <w:jc w:val="left"/>
              <w:rPr>
                <w:b/>
                <w:color w:val="FFFFFF"/>
                <w:sz w:val="72"/>
              </w:rPr>
            </w:pPr>
          </w:p>
          <w:p w:rsidR="007807BB" w:rsidRDefault="007807BB">
            <w:pPr>
              <w:spacing w:after="0" w:line="239" w:lineRule="auto"/>
              <w:ind w:left="180" w:right="76" w:firstLine="0"/>
              <w:jc w:val="left"/>
              <w:rPr>
                <w:b/>
                <w:color w:val="FFFFFF"/>
                <w:sz w:val="72"/>
              </w:rPr>
            </w:pPr>
            <w:r>
              <w:rPr>
                <w:b/>
                <w:color w:val="FFFFFF"/>
                <w:sz w:val="72"/>
              </w:rPr>
              <w:t xml:space="preserve">    </w:t>
            </w:r>
          </w:p>
          <w:p w:rsidR="007807BB" w:rsidRDefault="007807BB">
            <w:pPr>
              <w:spacing w:after="0" w:line="239" w:lineRule="auto"/>
              <w:ind w:left="180" w:right="76" w:firstLine="0"/>
              <w:jc w:val="left"/>
              <w:rPr>
                <w:b/>
                <w:color w:val="FFFFFF"/>
                <w:sz w:val="72"/>
              </w:rPr>
            </w:pPr>
            <w:r>
              <w:rPr>
                <w:b/>
                <w:color w:val="FFFFFF"/>
                <w:sz w:val="72"/>
              </w:rPr>
              <w:t xml:space="preserve">     Blue Gate Fields </w:t>
            </w:r>
          </w:p>
          <w:p w:rsidR="007807BB" w:rsidRDefault="007807BB">
            <w:pPr>
              <w:spacing w:after="0" w:line="239" w:lineRule="auto"/>
              <w:ind w:left="180" w:right="76" w:firstLine="0"/>
              <w:jc w:val="left"/>
              <w:rPr>
                <w:b/>
                <w:color w:val="FFFFFF"/>
                <w:sz w:val="72"/>
              </w:rPr>
            </w:pPr>
            <w:r>
              <w:rPr>
                <w:b/>
                <w:color w:val="FFFFFF"/>
                <w:sz w:val="72"/>
              </w:rPr>
              <w:t xml:space="preserve">       Infant School</w:t>
            </w:r>
          </w:p>
          <w:p w:rsidR="007807BB" w:rsidRDefault="007807BB">
            <w:pPr>
              <w:spacing w:after="0" w:line="239" w:lineRule="auto"/>
              <w:ind w:left="180" w:right="76" w:firstLine="0"/>
              <w:jc w:val="left"/>
              <w:rPr>
                <w:b/>
                <w:color w:val="FFFFFF"/>
                <w:sz w:val="72"/>
              </w:rPr>
            </w:pPr>
          </w:p>
          <w:p w:rsidR="007807BB" w:rsidRDefault="007807BB">
            <w:pPr>
              <w:spacing w:after="0" w:line="239" w:lineRule="auto"/>
              <w:ind w:left="180" w:right="76" w:firstLine="0"/>
              <w:jc w:val="left"/>
              <w:rPr>
                <w:b/>
                <w:color w:val="FFFFFF"/>
                <w:sz w:val="72"/>
              </w:rPr>
            </w:pPr>
          </w:p>
          <w:p w:rsidR="00AD4F37" w:rsidRDefault="007807BB">
            <w:pPr>
              <w:spacing w:after="0" w:line="239" w:lineRule="auto"/>
              <w:ind w:left="180" w:right="76" w:firstLine="0"/>
              <w:jc w:val="left"/>
            </w:pPr>
            <w:r>
              <w:rPr>
                <w:b/>
                <w:color w:val="FFFFFF"/>
                <w:sz w:val="72"/>
              </w:rPr>
              <w:t xml:space="preserve">     Water only policy </w:t>
            </w:r>
          </w:p>
          <w:p w:rsidR="00AD4F37" w:rsidRDefault="007807BB">
            <w:pPr>
              <w:spacing w:after="239" w:line="259" w:lineRule="auto"/>
              <w:ind w:left="180" w:right="0" w:firstLine="0"/>
              <w:jc w:val="left"/>
            </w:pPr>
            <w:r>
              <w:rPr>
                <w:color w:val="FFFFFF"/>
                <w:sz w:val="32"/>
              </w:rPr>
              <w:t xml:space="preserve"> </w:t>
            </w:r>
          </w:p>
          <w:p w:rsidR="00AD4F37" w:rsidRDefault="007807BB">
            <w:pPr>
              <w:spacing w:after="224" w:line="259" w:lineRule="auto"/>
              <w:ind w:left="180" w:right="0" w:firstLine="0"/>
              <w:jc w:val="left"/>
            </w:pPr>
            <w:r>
              <w:rPr>
                <w:color w:val="FFFFFF"/>
                <w:sz w:val="32"/>
              </w:rPr>
              <w:t xml:space="preserve"> </w:t>
            </w:r>
          </w:p>
          <w:p w:rsidR="00AD4F37" w:rsidRDefault="007807BB">
            <w:pPr>
              <w:spacing w:after="239" w:line="259" w:lineRule="auto"/>
              <w:ind w:left="180" w:right="0" w:firstLine="0"/>
              <w:jc w:val="left"/>
            </w:pPr>
            <w:r>
              <w:rPr>
                <w:color w:val="FFFFFF"/>
                <w:sz w:val="32"/>
              </w:rPr>
              <w:t xml:space="preserve"> </w:t>
            </w:r>
          </w:p>
          <w:p w:rsidR="00AD4F37" w:rsidRDefault="007807BB">
            <w:pPr>
              <w:spacing w:after="239" w:line="259" w:lineRule="auto"/>
              <w:ind w:left="180" w:right="0" w:firstLine="0"/>
              <w:jc w:val="left"/>
            </w:pPr>
            <w:r>
              <w:rPr>
                <w:color w:val="FFFFFF"/>
                <w:sz w:val="32"/>
              </w:rPr>
              <w:t xml:space="preserve"> </w:t>
            </w:r>
          </w:p>
          <w:p w:rsidR="00AD4F37" w:rsidRDefault="007807BB">
            <w:pPr>
              <w:spacing w:after="224" w:line="259" w:lineRule="auto"/>
              <w:ind w:left="180" w:right="0" w:firstLine="0"/>
              <w:jc w:val="left"/>
            </w:pPr>
            <w:r>
              <w:rPr>
                <w:color w:val="FFFFFF"/>
                <w:sz w:val="32"/>
              </w:rPr>
              <w:t xml:space="preserve"> </w:t>
            </w:r>
          </w:p>
          <w:p w:rsidR="00AD4F37" w:rsidRDefault="007807BB">
            <w:pPr>
              <w:spacing w:after="149" w:line="259" w:lineRule="auto"/>
              <w:ind w:left="180" w:right="0" w:firstLine="0"/>
              <w:jc w:val="left"/>
            </w:pPr>
            <w:r>
              <w:rPr>
                <w:color w:val="FFFFFF"/>
                <w:sz w:val="32"/>
              </w:rPr>
              <w:t>December 2021</w:t>
            </w:r>
          </w:p>
          <w:p w:rsidR="00AD4F37" w:rsidRDefault="007807BB">
            <w:pPr>
              <w:spacing w:after="0" w:line="259" w:lineRule="auto"/>
              <w:ind w:left="180" w:right="0" w:firstLine="0"/>
              <w:jc w:val="left"/>
            </w:pPr>
            <w:r>
              <w:rPr>
                <w:rFonts w:ascii="Calibri" w:eastAsia="Calibri" w:hAnsi="Calibri" w:cs="Calibri"/>
              </w:rPr>
              <w:t xml:space="preserve"> </w:t>
            </w:r>
          </w:p>
        </w:tc>
      </w:tr>
    </w:tbl>
    <w:p w:rsidR="00AD4F37" w:rsidRDefault="007807BB">
      <w:pPr>
        <w:pStyle w:val="Heading1"/>
        <w:ind w:left="-5"/>
      </w:pPr>
      <w:bookmarkStart w:id="0" w:name="_GoBack"/>
      <w:bookmarkEnd w:id="0"/>
      <w:r>
        <w:lastRenderedPageBreak/>
        <w:t xml:space="preserve">Context </w:t>
      </w:r>
    </w:p>
    <w:p w:rsidR="007807BB" w:rsidRDefault="007807BB">
      <w:pPr>
        <w:ind w:left="-5" w:right="56"/>
      </w:pPr>
      <w:r>
        <w:t xml:space="preserve">Schools are a key setting to teach children about nutrition and healthy beverage choices. School based interventions reach all children regardless of their background. </w:t>
      </w:r>
    </w:p>
    <w:p w:rsidR="00AD4F37" w:rsidRDefault="007807BB">
      <w:pPr>
        <w:ind w:left="-5" w:right="56"/>
      </w:pPr>
      <w:r>
        <w:t xml:space="preserve">Tower Hamlets has amongst the highest childhood excess weight and obesity levels in London. </w:t>
      </w:r>
    </w:p>
    <w:p w:rsidR="00AD4F37" w:rsidRDefault="007807BB">
      <w:pPr>
        <w:spacing w:after="239"/>
        <w:ind w:left="-5" w:right="56"/>
      </w:pPr>
      <w:r>
        <w:t xml:space="preserve">One reason for this is the high sugar diet that many children consume. For example, a can of Coca-Cola contains 35g of sugar and a can of </w:t>
      </w:r>
      <w:hyperlink r:id="rId8">
        <w:r>
          <w:t>Pepsi contains 36g of sugar</w:t>
        </w:r>
      </w:hyperlink>
      <w:hyperlink r:id="rId9">
        <w:r>
          <w:t xml:space="preserve"> </w:t>
        </w:r>
      </w:hyperlink>
      <w:r>
        <w:t>which equates to 150% of the recommended daily sugar intake for children aged between 7 and 10years</w:t>
      </w:r>
      <w:r>
        <w:rPr>
          <w:sz w:val="21"/>
          <w:vertAlign w:val="superscript"/>
        </w:rPr>
        <w:t>.</w:t>
      </w:r>
      <w:r>
        <w:t xml:space="preserve"> Fruit juices and smoothies also contain high levels of sugar despite often being advertised as healthy</w:t>
      </w:r>
      <w:r>
        <w:rPr>
          <w:sz w:val="21"/>
          <w:vertAlign w:val="superscript"/>
        </w:rPr>
        <w:t>.</w:t>
      </w:r>
      <w:r>
        <w:t xml:space="preserve">  </w:t>
      </w:r>
    </w:p>
    <w:p w:rsidR="00AD4F37" w:rsidRDefault="007807BB">
      <w:pPr>
        <w:ind w:left="-5" w:right="162"/>
      </w:pPr>
      <w:r>
        <w:t xml:space="preserve">High levels of sugar can also contribute to tooth decay. Every day in the UK there are </w:t>
      </w:r>
      <w:hyperlink r:id="rId10">
        <w:r>
          <w:t>1</w:t>
        </w:r>
      </w:hyperlink>
      <w:hyperlink r:id="rId11">
        <w:r>
          <w:t>80 operations</w:t>
        </w:r>
      </w:hyperlink>
      <w:hyperlink r:id="rId12">
        <w:r>
          <w:t xml:space="preserve"> </w:t>
        </w:r>
      </w:hyperlink>
      <w:r>
        <w:t>to remove children’s teeth due to tooth decay, at a significant cost to the NHS and to families.</w:t>
      </w:r>
    </w:p>
    <w:p w:rsidR="00AD4F37" w:rsidRDefault="007807BB">
      <w:pPr>
        <w:spacing w:after="238" w:line="268" w:lineRule="auto"/>
        <w:ind w:left="-5" w:right="71"/>
        <w:jc w:val="left"/>
      </w:pPr>
      <w:r>
        <w:t>Some soft drinks, particularly sports and energy drinks, have high levels of caffeine. Such drinks can cause poor concentration in class, headaches, irritability, sleepiness, dizziness and can affect behaviour and attainment.</w:t>
      </w:r>
    </w:p>
    <w:p w:rsidR="00AD4F37" w:rsidRDefault="007807BB" w:rsidP="007807BB">
      <w:pPr>
        <w:ind w:left="-5" w:right="165"/>
      </w:pPr>
      <w:r>
        <w:t xml:space="preserve">Promoting drinking water and banning fizzy drinks will reduce tooth decay, promote healthier choices and improve the health of pupils. On average, children should be provided with 6-8 glasses of water per day. </w:t>
      </w:r>
    </w:p>
    <w:p w:rsidR="00AD4F37" w:rsidRDefault="007807BB">
      <w:pPr>
        <w:spacing w:after="21" w:line="259" w:lineRule="auto"/>
        <w:ind w:left="0" w:right="0" w:firstLine="0"/>
        <w:jc w:val="left"/>
      </w:pPr>
      <w:r>
        <w:rPr>
          <w:color w:val="777777"/>
          <w:sz w:val="14"/>
        </w:rPr>
        <w:t xml:space="preserve"> </w:t>
      </w:r>
      <w:r>
        <w:rPr>
          <w:color w:val="777777"/>
          <w:sz w:val="18"/>
        </w:rPr>
        <w:t xml:space="preserve"> </w:t>
      </w:r>
    </w:p>
    <w:p w:rsidR="00AD4F37" w:rsidRDefault="007807BB">
      <w:pPr>
        <w:pStyle w:val="Heading1"/>
        <w:ind w:left="-5"/>
      </w:pPr>
      <w:r>
        <w:t xml:space="preserve">Policy introduction </w:t>
      </w:r>
    </w:p>
    <w:p w:rsidR="00AD4F37" w:rsidRDefault="007807BB">
      <w:pPr>
        <w:ind w:left="-5" w:right="56"/>
      </w:pPr>
      <w:r>
        <w:t xml:space="preserve">A water only school is one where the only drink available to students is water (and milk in nursery / reception classes). Schools should ensure that children are not bringing sugary drinks onto the school premises, including for after school or with their lunch.  </w:t>
      </w:r>
    </w:p>
    <w:p w:rsidR="00AD4F37" w:rsidRDefault="00AD4F37" w:rsidP="007807BB">
      <w:pPr>
        <w:spacing w:after="201" w:line="259" w:lineRule="auto"/>
        <w:ind w:left="0" w:right="0" w:firstLine="0"/>
        <w:jc w:val="left"/>
      </w:pPr>
    </w:p>
    <w:p w:rsidR="00AD4F37" w:rsidRDefault="007807BB">
      <w:pPr>
        <w:pStyle w:val="Heading1"/>
        <w:ind w:left="-5"/>
      </w:pPr>
      <w:r>
        <w:t xml:space="preserve">Water only schools policy </w:t>
      </w:r>
    </w:p>
    <w:p w:rsidR="00AD4F37" w:rsidRDefault="007807BB">
      <w:pPr>
        <w:numPr>
          <w:ilvl w:val="0"/>
          <w:numId w:val="1"/>
        </w:numPr>
        <w:spacing w:after="0"/>
        <w:ind w:right="63" w:hanging="361"/>
      </w:pPr>
      <w:r>
        <w:t xml:space="preserve">The only drinks to be available to children at Blue Gate Fields Infants are:  </w:t>
      </w:r>
    </w:p>
    <w:p w:rsidR="00AD4F37" w:rsidRDefault="007807BB">
      <w:pPr>
        <w:numPr>
          <w:ilvl w:val="1"/>
          <w:numId w:val="1"/>
        </w:numPr>
        <w:spacing w:after="20"/>
        <w:ind w:right="56" w:hanging="360"/>
      </w:pPr>
      <w:r>
        <w:t xml:space="preserve">Plain water (unless for medical reasons) </w:t>
      </w:r>
    </w:p>
    <w:p w:rsidR="00AD4F37" w:rsidRDefault="007807BB">
      <w:pPr>
        <w:numPr>
          <w:ilvl w:val="1"/>
          <w:numId w:val="1"/>
        </w:numPr>
        <w:spacing w:after="2"/>
        <w:ind w:right="56" w:hanging="360"/>
      </w:pPr>
      <w:r>
        <w:t xml:space="preserve">Plain reduced fat milk in nursery classes (including skimmed or semi skimmed, lactose free and soya milk).  </w:t>
      </w:r>
    </w:p>
    <w:p w:rsidR="00AD4F37" w:rsidRDefault="007807BB">
      <w:pPr>
        <w:spacing w:after="21" w:line="259" w:lineRule="auto"/>
        <w:ind w:left="0" w:right="0" w:firstLine="0"/>
        <w:jc w:val="left"/>
      </w:pPr>
      <w:r>
        <w:t xml:space="preserve"> </w:t>
      </w:r>
    </w:p>
    <w:p w:rsidR="00AD4F37" w:rsidRDefault="007807BB">
      <w:pPr>
        <w:numPr>
          <w:ilvl w:val="0"/>
          <w:numId w:val="1"/>
        </w:numPr>
        <w:spacing w:after="0"/>
        <w:ind w:right="63" w:hanging="361"/>
      </w:pPr>
      <w:r>
        <w:t xml:space="preserve">If a child has a medical condition that requires them to drink sugary drinks then this is treated as an exception to this policy and should be approved by the headteacher.  </w:t>
      </w:r>
    </w:p>
    <w:p w:rsidR="00AD4F37" w:rsidRDefault="007807BB">
      <w:pPr>
        <w:spacing w:after="21" w:line="259" w:lineRule="auto"/>
        <w:ind w:left="361" w:right="0" w:firstLine="0"/>
        <w:jc w:val="left"/>
      </w:pPr>
      <w:r>
        <w:t xml:space="preserve"> </w:t>
      </w:r>
    </w:p>
    <w:p w:rsidR="00AD4F37" w:rsidRDefault="007807BB">
      <w:pPr>
        <w:numPr>
          <w:ilvl w:val="0"/>
          <w:numId w:val="1"/>
        </w:numPr>
        <w:spacing w:after="1" w:line="268" w:lineRule="auto"/>
        <w:ind w:right="63" w:hanging="361"/>
      </w:pPr>
      <w:r>
        <w:t xml:space="preserve">Other drinks should not be made available from school. Schools should request that caterers and in house teams follow this policy, removing drinks other than water from their canteens. Drinking water provided must be free from water fountains and jugs on tables and not for sale in plastic bottles. </w:t>
      </w:r>
    </w:p>
    <w:p w:rsidR="00AD4F37" w:rsidRDefault="007807BB">
      <w:pPr>
        <w:spacing w:after="21" w:line="259" w:lineRule="auto"/>
        <w:ind w:left="361" w:right="0" w:firstLine="0"/>
        <w:jc w:val="left"/>
      </w:pPr>
      <w:r>
        <w:t xml:space="preserve"> </w:t>
      </w:r>
    </w:p>
    <w:p w:rsidR="00AD4F37" w:rsidRDefault="007807BB">
      <w:pPr>
        <w:numPr>
          <w:ilvl w:val="0"/>
          <w:numId w:val="1"/>
        </w:numPr>
        <w:spacing w:after="11"/>
        <w:ind w:right="63" w:hanging="361"/>
      </w:pPr>
      <w:r>
        <w:t xml:space="preserve">Pupils must have free access to drinking water throughout the day and be encouraged to drink it.  </w:t>
      </w:r>
    </w:p>
    <w:p w:rsidR="00AD4F37" w:rsidRDefault="007807BB">
      <w:pPr>
        <w:spacing w:after="6" w:line="259" w:lineRule="auto"/>
        <w:ind w:left="721" w:right="0" w:firstLine="0"/>
        <w:jc w:val="left"/>
      </w:pPr>
      <w:r>
        <w:t xml:space="preserve"> </w:t>
      </w:r>
    </w:p>
    <w:p w:rsidR="00AD4F37" w:rsidRDefault="007807BB">
      <w:pPr>
        <w:numPr>
          <w:ilvl w:val="0"/>
          <w:numId w:val="1"/>
        </w:numPr>
        <w:spacing w:after="11"/>
        <w:ind w:right="63" w:hanging="361"/>
      </w:pPr>
      <w:r>
        <w:t xml:space="preserve">The water-only policy is to be applied to all breakfast and afterschool clubs, as well as extracurricular events such as sports days and school fetes. </w:t>
      </w:r>
    </w:p>
    <w:p w:rsidR="00AD4F37" w:rsidRDefault="007807BB">
      <w:pPr>
        <w:spacing w:after="6" w:line="259" w:lineRule="auto"/>
        <w:ind w:left="361" w:right="0" w:firstLine="0"/>
        <w:jc w:val="left"/>
      </w:pPr>
      <w:r>
        <w:t xml:space="preserve"> </w:t>
      </w:r>
    </w:p>
    <w:p w:rsidR="00AD4F37" w:rsidRDefault="007807BB">
      <w:pPr>
        <w:numPr>
          <w:ilvl w:val="0"/>
          <w:numId w:val="1"/>
        </w:numPr>
        <w:spacing w:after="3"/>
        <w:ind w:right="63" w:hanging="361"/>
      </w:pPr>
      <w:r>
        <w:t xml:space="preserve">Teachers should be water-only role models and regularly drink water in front of their students to highlight the importance of hydration. Staff must not be seen to be drinking sugary or fizzy drinks by children and should limit other drinks to the staff room only.  </w:t>
      </w:r>
    </w:p>
    <w:p w:rsidR="00AD4F37" w:rsidRDefault="007807BB">
      <w:pPr>
        <w:spacing w:after="21" w:line="259" w:lineRule="auto"/>
        <w:ind w:left="361" w:right="0" w:firstLine="0"/>
        <w:jc w:val="left"/>
      </w:pPr>
      <w:r>
        <w:t xml:space="preserve"> </w:t>
      </w:r>
    </w:p>
    <w:p w:rsidR="00AD4F37" w:rsidRDefault="007807BB">
      <w:pPr>
        <w:numPr>
          <w:ilvl w:val="0"/>
          <w:numId w:val="1"/>
        </w:numPr>
        <w:spacing w:after="3"/>
        <w:ind w:right="63" w:hanging="361"/>
      </w:pPr>
      <w:r>
        <w:t xml:space="preserve">Parents are discouraged from bringing drinks other than water to the playground before and after school. Families are banned from packing drinks in lunch boxes as water is provided at school.  </w:t>
      </w:r>
    </w:p>
    <w:p w:rsidR="00AD4F37" w:rsidRDefault="007807BB">
      <w:pPr>
        <w:spacing w:after="6" w:line="259" w:lineRule="auto"/>
        <w:ind w:left="721" w:right="0" w:firstLine="0"/>
        <w:jc w:val="left"/>
      </w:pPr>
      <w:r>
        <w:t xml:space="preserve"> </w:t>
      </w:r>
    </w:p>
    <w:p w:rsidR="00AD4F37" w:rsidRDefault="007807BB" w:rsidP="007807BB">
      <w:pPr>
        <w:numPr>
          <w:ilvl w:val="0"/>
          <w:numId w:val="1"/>
        </w:numPr>
        <w:ind w:right="63" w:hanging="361"/>
      </w:pPr>
      <w:r>
        <w:t>Banners and posters around the school should promote water consumption.</w:t>
      </w:r>
    </w:p>
    <w:p w:rsidR="00AD4F37" w:rsidRDefault="007807BB">
      <w:pPr>
        <w:spacing w:after="0" w:line="259" w:lineRule="auto"/>
        <w:ind w:left="0" w:right="0" w:firstLine="0"/>
        <w:jc w:val="left"/>
      </w:pPr>
      <w:r>
        <w:rPr>
          <w:b/>
        </w:rPr>
        <w:t xml:space="preserve"> </w:t>
      </w:r>
    </w:p>
    <w:p w:rsidR="00AD4F37" w:rsidRDefault="007807BB">
      <w:pPr>
        <w:pStyle w:val="Heading1"/>
        <w:ind w:left="-5"/>
      </w:pPr>
      <w:r>
        <w:t>Appendix 1: Recommendations and good practice</w:t>
      </w:r>
      <w:r>
        <w:rPr>
          <w:b w:val="0"/>
        </w:rPr>
        <w:t xml:space="preserve"> </w:t>
      </w:r>
    </w:p>
    <w:p w:rsidR="00AD4F37" w:rsidRDefault="007807BB">
      <w:pPr>
        <w:spacing w:after="207" w:line="268" w:lineRule="auto"/>
        <w:ind w:left="-5" w:right="71"/>
        <w:jc w:val="left"/>
      </w:pPr>
      <w:r>
        <w:t xml:space="preserve">In schools where water is pre-poured into beakers, children were seen to drink more water, whilst in schools where children had to collect a cup from another table, they often did not and so went without a drink over lunchtime.   </w:t>
      </w:r>
    </w:p>
    <w:p w:rsidR="00AD4F37" w:rsidRDefault="007807BB">
      <w:pPr>
        <w:spacing w:after="207" w:line="268" w:lineRule="auto"/>
        <w:ind w:left="-5" w:right="71"/>
        <w:jc w:val="left"/>
      </w:pPr>
      <w:r>
        <w:t xml:space="preserve">Water jugs are often too heavy for younger children resulting in spillages. Younger children should have water pre-poured into beakers and topped up for them regularly to avoid spillages. </w:t>
      </w:r>
    </w:p>
    <w:p w:rsidR="00AD4F37" w:rsidRDefault="007807BB">
      <w:pPr>
        <w:ind w:left="-5" w:right="56"/>
      </w:pPr>
      <w:r>
        <w:t xml:space="preserve">For older children, water should be positioned in a visible location e.g. on dining tables so it is more difficult for children to avoid or miss. </w:t>
      </w:r>
    </w:p>
    <w:p w:rsidR="00AD4F37" w:rsidRDefault="007807BB">
      <w:pPr>
        <w:ind w:left="-5" w:right="56"/>
      </w:pPr>
      <w:r>
        <w:t xml:space="preserve">All children should be actively encouraged to drink water during their lunch break by dining room staff, teachers and midday meal supervisors.  </w:t>
      </w:r>
    </w:p>
    <w:p w:rsidR="00AD4F37" w:rsidRDefault="007807BB">
      <w:pPr>
        <w:spacing w:after="216" w:line="259" w:lineRule="auto"/>
        <w:ind w:left="0" w:right="0" w:firstLine="0"/>
        <w:jc w:val="left"/>
      </w:pPr>
      <w:r>
        <w:t xml:space="preserve"> </w:t>
      </w:r>
    </w:p>
    <w:p w:rsidR="00AD4F37" w:rsidRDefault="007807BB">
      <w:pPr>
        <w:spacing w:after="15" w:line="446" w:lineRule="auto"/>
        <w:ind w:left="0" w:right="9041" w:firstLine="0"/>
        <w:jc w:val="left"/>
      </w:pPr>
      <w:r>
        <w:t xml:space="preserve">  </w:t>
      </w:r>
    </w:p>
    <w:p w:rsidR="00AD4F37" w:rsidRDefault="007807BB">
      <w:pPr>
        <w:spacing w:after="216" w:line="259" w:lineRule="auto"/>
        <w:ind w:left="0" w:right="0" w:firstLine="0"/>
        <w:jc w:val="left"/>
      </w:pPr>
      <w:r>
        <w:t xml:space="preserve"> </w:t>
      </w:r>
    </w:p>
    <w:p w:rsidR="00AD4F37" w:rsidRDefault="007807BB">
      <w:pPr>
        <w:spacing w:after="216" w:line="259" w:lineRule="auto"/>
        <w:ind w:left="0" w:right="0" w:firstLine="0"/>
        <w:jc w:val="left"/>
      </w:pPr>
      <w:r>
        <w:t xml:space="preserve"> </w:t>
      </w:r>
    </w:p>
    <w:p w:rsidR="00AD4F37" w:rsidRDefault="007807BB">
      <w:pPr>
        <w:spacing w:after="15" w:line="446" w:lineRule="auto"/>
        <w:ind w:left="0" w:right="9041" w:firstLine="0"/>
        <w:jc w:val="left"/>
      </w:pPr>
      <w:r>
        <w:t xml:space="preserve">  </w:t>
      </w:r>
    </w:p>
    <w:p w:rsidR="00AD4F37" w:rsidRDefault="007807BB">
      <w:pPr>
        <w:spacing w:after="216" w:line="259" w:lineRule="auto"/>
        <w:ind w:left="0" w:right="0" w:firstLine="0"/>
        <w:jc w:val="left"/>
      </w:pPr>
      <w:r>
        <w:t xml:space="preserve"> </w:t>
      </w:r>
    </w:p>
    <w:p w:rsidR="00AD4F37" w:rsidRDefault="007807BB">
      <w:pPr>
        <w:spacing w:after="15" w:line="446" w:lineRule="auto"/>
        <w:ind w:left="0" w:right="9041" w:firstLine="0"/>
        <w:jc w:val="left"/>
      </w:pPr>
      <w:r>
        <w:t xml:space="preserve">  </w:t>
      </w:r>
    </w:p>
    <w:p w:rsidR="00AD4F37" w:rsidRDefault="007807BB">
      <w:pPr>
        <w:spacing w:after="216" w:line="259" w:lineRule="auto"/>
        <w:ind w:left="0" w:right="0" w:firstLine="0"/>
        <w:jc w:val="left"/>
      </w:pPr>
      <w:r>
        <w:t xml:space="preserve"> </w:t>
      </w:r>
    </w:p>
    <w:p w:rsidR="00AD4F37" w:rsidRDefault="007807BB">
      <w:pPr>
        <w:spacing w:after="216" w:line="259" w:lineRule="auto"/>
        <w:ind w:left="0" w:right="0" w:firstLine="0"/>
        <w:jc w:val="left"/>
      </w:pPr>
      <w:r>
        <w:t xml:space="preserve"> </w:t>
      </w:r>
    </w:p>
    <w:p w:rsidR="00AD4F37" w:rsidRDefault="007807BB">
      <w:pPr>
        <w:spacing w:after="15" w:line="446" w:lineRule="auto"/>
        <w:ind w:left="0" w:right="9041" w:firstLine="0"/>
        <w:jc w:val="left"/>
      </w:pPr>
      <w:r>
        <w:t xml:space="preserve">  </w:t>
      </w:r>
    </w:p>
    <w:p w:rsidR="00AD4F37" w:rsidRDefault="007807BB">
      <w:pPr>
        <w:spacing w:after="216" w:line="259" w:lineRule="auto"/>
        <w:ind w:left="0" w:right="0" w:firstLine="0"/>
        <w:jc w:val="left"/>
      </w:pPr>
      <w:r>
        <w:t xml:space="preserve"> </w:t>
      </w:r>
    </w:p>
    <w:p w:rsidR="00AD4F37" w:rsidRDefault="007807BB">
      <w:pPr>
        <w:spacing w:after="216" w:line="259" w:lineRule="auto"/>
        <w:ind w:left="0" w:right="0" w:firstLine="0"/>
        <w:jc w:val="left"/>
      </w:pPr>
      <w:r>
        <w:t xml:space="preserve"> </w:t>
      </w:r>
    </w:p>
    <w:p w:rsidR="00AD4F37" w:rsidRDefault="007807BB">
      <w:pPr>
        <w:spacing w:after="0" w:line="259" w:lineRule="auto"/>
        <w:ind w:left="0" w:right="0" w:firstLine="0"/>
        <w:jc w:val="left"/>
      </w:pPr>
      <w:r>
        <w:t xml:space="preserve"> </w:t>
      </w:r>
    </w:p>
    <w:p w:rsidR="00AD4F37" w:rsidRDefault="007807BB">
      <w:pPr>
        <w:pStyle w:val="Heading1"/>
        <w:ind w:left="-5"/>
      </w:pPr>
      <w:r>
        <w:t xml:space="preserve">Appendix 2: Change4Life </w:t>
      </w:r>
    </w:p>
    <w:p w:rsidR="00AD4F37" w:rsidRDefault="007807BB">
      <w:pPr>
        <w:spacing w:after="0"/>
        <w:ind w:left="-5" w:right="56"/>
      </w:pPr>
      <w:r>
        <w:t xml:space="preserve">Examples of water-only posters that could be put up in schools to promote drinking water: </w:t>
      </w:r>
    </w:p>
    <w:p w:rsidR="00AD4F37" w:rsidRDefault="007807BB">
      <w:pPr>
        <w:spacing w:after="247" w:line="259" w:lineRule="auto"/>
        <w:ind w:left="-2" w:right="0" w:firstLine="0"/>
        <w:jc w:val="left"/>
      </w:pPr>
      <w:r>
        <w:rPr>
          <w:rFonts w:ascii="Calibri" w:eastAsia="Calibri" w:hAnsi="Calibri" w:cs="Calibri"/>
          <w:noProof/>
          <w:sz w:val="22"/>
        </w:rPr>
        <mc:AlternateContent>
          <mc:Choice Requires="wpg">
            <w:drawing>
              <wp:inline distT="0" distB="0" distL="0" distR="0">
                <wp:extent cx="5723471" cy="6136757"/>
                <wp:effectExtent l="0" t="0" r="0" b="0"/>
                <wp:docPr id="3894" name="Group 3894"/>
                <wp:cNvGraphicFramePr/>
                <a:graphic xmlns:a="http://schemas.openxmlformats.org/drawingml/2006/main">
                  <a:graphicData uri="http://schemas.microsoft.com/office/word/2010/wordprocessingGroup">
                    <wpg:wgp>
                      <wpg:cNvGrpSpPr/>
                      <wpg:grpSpPr>
                        <a:xfrm>
                          <a:off x="0" y="0"/>
                          <a:ext cx="5723471" cy="6136757"/>
                          <a:chOff x="0" y="0"/>
                          <a:chExt cx="5723471" cy="6136757"/>
                        </a:xfrm>
                      </wpg:grpSpPr>
                      <pic:pic xmlns:pic="http://schemas.openxmlformats.org/drawingml/2006/picture">
                        <pic:nvPicPr>
                          <pic:cNvPr id="626" name="Picture 626"/>
                          <pic:cNvPicPr/>
                        </pic:nvPicPr>
                        <pic:blipFill>
                          <a:blip r:embed="rId13"/>
                          <a:stretch>
                            <a:fillRect/>
                          </a:stretch>
                        </pic:blipFill>
                        <pic:spPr>
                          <a:xfrm>
                            <a:off x="0" y="0"/>
                            <a:ext cx="5723471" cy="2992872"/>
                          </a:xfrm>
                          <a:prstGeom prst="rect">
                            <a:avLst/>
                          </a:prstGeom>
                        </pic:spPr>
                      </pic:pic>
                      <pic:pic xmlns:pic="http://schemas.openxmlformats.org/drawingml/2006/picture">
                        <pic:nvPicPr>
                          <pic:cNvPr id="628" name="Picture 628"/>
                          <pic:cNvPicPr/>
                        </pic:nvPicPr>
                        <pic:blipFill>
                          <a:blip r:embed="rId14"/>
                          <a:stretch>
                            <a:fillRect/>
                          </a:stretch>
                        </pic:blipFill>
                        <pic:spPr>
                          <a:xfrm>
                            <a:off x="0" y="3143885"/>
                            <a:ext cx="5723381" cy="2992872"/>
                          </a:xfrm>
                          <a:prstGeom prst="rect">
                            <a:avLst/>
                          </a:prstGeom>
                        </pic:spPr>
                      </pic:pic>
                    </wpg:wgp>
                  </a:graphicData>
                </a:graphic>
              </wp:inline>
            </w:drawing>
          </mc:Choice>
          <mc:Fallback xmlns:a="http://schemas.openxmlformats.org/drawingml/2006/main">
            <w:pict>
              <v:group id="Group 3894" style="width:450.667pt;height:483.209pt;mso-position-horizontal-relative:char;mso-position-vertical-relative:line" coordsize="57234,61367">
                <v:shape id="Picture 626" style="position:absolute;width:57234;height:29928;left:0;top:0;" filled="f">
                  <v:imagedata r:id="rId15"/>
                </v:shape>
                <v:shape id="Picture 628" style="position:absolute;width:57233;height:29928;left:0;top:31438;" filled="f">
                  <v:imagedata r:id="rId16"/>
                </v:shape>
              </v:group>
            </w:pict>
          </mc:Fallback>
        </mc:AlternateContent>
      </w:r>
    </w:p>
    <w:p w:rsidR="00AD4F37" w:rsidRDefault="007807BB">
      <w:pPr>
        <w:spacing w:after="201" w:line="259" w:lineRule="auto"/>
        <w:ind w:left="0" w:right="0" w:firstLine="0"/>
        <w:jc w:val="left"/>
      </w:pPr>
      <w:r>
        <w:t xml:space="preserve"> </w:t>
      </w:r>
    </w:p>
    <w:p w:rsidR="00AD4F37" w:rsidRDefault="007807BB">
      <w:pPr>
        <w:ind w:left="-5" w:right="56"/>
      </w:pPr>
      <w:r>
        <w:t xml:space="preserve">More resources are available online: </w:t>
      </w:r>
      <w:hyperlink r:id="rId17">
        <w:r>
          <w:rPr>
            <w:color w:val="0000FF"/>
            <w:u w:val="single" w:color="0000FF"/>
          </w:rPr>
          <w:t>https://www.nhs.uk/change4life/</w:t>
        </w:r>
      </w:hyperlink>
      <w:hyperlink r:id="rId18">
        <w:r>
          <w:t xml:space="preserve"> </w:t>
        </w:r>
      </w:hyperlink>
      <w:r>
        <w:t xml:space="preserve"> </w:t>
      </w:r>
    </w:p>
    <w:sectPr w:rsidR="00AD4F37">
      <w:footerReference w:type="even" r:id="rId19"/>
      <w:footerReference w:type="default" r:id="rId20"/>
      <w:footerReference w:type="first" r:id="rId21"/>
      <w:footnotePr>
        <w:numRestart w:val="eachPage"/>
      </w:footnotePr>
      <w:pgSz w:w="11910" w:h="16845"/>
      <w:pgMar w:top="1418" w:right="1364" w:bottom="1449" w:left="1442" w:header="720" w:footer="1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7BB" w:rsidRDefault="007807BB">
      <w:pPr>
        <w:spacing w:after="0" w:line="240" w:lineRule="auto"/>
      </w:pPr>
      <w:r>
        <w:separator/>
      </w:r>
    </w:p>
  </w:endnote>
  <w:endnote w:type="continuationSeparator" w:id="0">
    <w:p w:rsidR="007807BB" w:rsidRDefault="0078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BB" w:rsidRDefault="007807BB">
    <w:pPr>
      <w:spacing w:after="0" w:line="259" w:lineRule="auto"/>
      <w:ind w:left="0" w:right="-977" w:firstLine="0"/>
      <w:jc w:val="left"/>
    </w:pPr>
    <w:r>
      <w:rPr>
        <w:noProof/>
      </w:rPr>
      <w:drawing>
        <wp:anchor distT="0" distB="0" distL="114300" distR="114300" simplePos="0" relativeHeight="251658240" behindDoc="0" locked="0" layoutInCell="1" allowOverlap="0">
          <wp:simplePos x="0" y="0"/>
          <wp:positionH relativeFrom="page">
            <wp:posOffset>730250</wp:posOffset>
          </wp:positionH>
          <wp:positionV relativeFrom="page">
            <wp:posOffset>9698355</wp:posOffset>
          </wp:positionV>
          <wp:extent cx="3131820" cy="26733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3131820" cy="26733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5805805</wp:posOffset>
          </wp:positionH>
          <wp:positionV relativeFrom="page">
            <wp:posOffset>9933939</wp:posOffset>
          </wp:positionV>
          <wp:extent cx="1511300" cy="6705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511300" cy="670560"/>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BB" w:rsidRDefault="007807BB">
    <w:pPr>
      <w:spacing w:after="0" w:line="259" w:lineRule="auto"/>
      <w:ind w:left="0" w:right="-977" w:firstLine="0"/>
      <w:jc w:val="left"/>
    </w:pPr>
    <w:r>
      <w:rPr>
        <w:rFonts w:ascii="Calibri" w:eastAsia="Calibri" w:hAnsi="Calibri" w:cs="Calibri"/>
      </w:rPr>
      <w:t xml:space="preserve"> </w:t>
    </w:r>
    <w:r>
      <w:rPr>
        <w:rFonts w:ascii="Calibri" w:eastAsia="Calibri" w:hAnsi="Calibri" w:cs="Calibr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BB" w:rsidRDefault="007807BB">
    <w:pPr>
      <w:spacing w:after="0" w:line="259" w:lineRule="auto"/>
      <w:ind w:left="0" w:right="-977" w:firstLine="0"/>
      <w:jc w:val="left"/>
    </w:pPr>
    <w:r>
      <w:rPr>
        <w:noProof/>
      </w:rPr>
      <w:drawing>
        <wp:anchor distT="0" distB="0" distL="114300" distR="114300" simplePos="0" relativeHeight="251662336" behindDoc="0" locked="0" layoutInCell="1" allowOverlap="0">
          <wp:simplePos x="0" y="0"/>
          <wp:positionH relativeFrom="page">
            <wp:posOffset>730250</wp:posOffset>
          </wp:positionH>
          <wp:positionV relativeFrom="page">
            <wp:posOffset>9698355</wp:posOffset>
          </wp:positionV>
          <wp:extent cx="3131820" cy="26733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3131820" cy="26733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5805805</wp:posOffset>
          </wp:positionH>
          <wp:positionV relativeFrom="page">
            <wp:posOffset>9933939</wp:posOffset>
          </wp:positionV>
          <wp:extent cx="1511300" cy="67056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511300" cy="670560"/>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7BB" w:rsidRDefault="007807BB">
      <w:pPr>
        <w:spacing w:after="51" w:line="259" w:lineRule="auto"/>
        <w:ind w:left="0" w:right="0" w:firstLine="0"/>
        <w:jc w:val="left"/>
      </w:pPr>
      <w:r>
        <w:separator/>
      </w:r>
    </w:p>
  </w:footnote>
  <w:footnote w:type="continuationSeparator" w:id="0">
    <w:p w:rsidR="007807BB" w:rsidRDefault="007807BB">
      <w:pPr>
        <w:spacing w:after="51" w:line="259" w:lineRule="auto"/>
        <w:ind w:left="0"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F3AA9"/>
    <w:multiLevelType w:val="hybridMultilevel"/>
    <w:tmpl w:val="64A44876"/>
    <w:lvl w:ilvl="0" w:tplc="64988844">
      <w:start w:val="1"/>
      <w:numFmt w:val="decimal"/>
      <w:lvlText w:val="%1."/>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76463E6">
      <w:start w:val="1"/>
      <w:numFmt w:val="bullet"/>
      <w:lvlText w:val=""/>
      <w:lvlJc w:val="left"/>
      <w:pPr>
        <w:ind w:left="108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0767FD8">
      <w:start w:val="1"/>
      <w:numFmt w:val="bullet"/>
      <w:lvlText w:val="▪"/>
      <w:lvlJc w:val="left"/>
      <w:pPr>
        <w:ind w:left="180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0DF4C6FA">
      <w:start w:val="1"/>
      <w:numFmt w:val="bullet"/>
      <w:lvlText w:val="•"/>
      <w:lvlJc w:val="left"/>
      <w:pPr>
        <w:ind w:left="25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1BD0675E">
      <w:start w:val="1"/>
      <w:numFmt w:val="bullet"/>
      <w:lvlText w:val="o"/>
      <w:lvlJc w:val="left"/>
      <w:pPr>
        <w:ind w:left="324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E9FE58DA">
      <w:start w:val="1"/>
      <w:numFmt w:val="bullet"/>
      <w:lvlText w:val="▪"/>
      <w:lvlJc w:val="left"/>
      <w:pPr>
        <w:ind w:left="396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3DD478DA">
      <w:start w:val="1"/>
      <w:numFmt w:val="bullet"/>
      <w:lvlText w:val="•"/>
      <w:lvlJc w:val="left"/>
      <w:pPr>
        <w:ind w:left="468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A73E7CDE">
      <w:start w:val="1"/>
      <w:numFmt w:val="bullet"/>
      <w:lvlText w:val="o"/>
      <w:lvlJc w:val="left"/>
      <w:pPr>
        <w:ind w:left="540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D024AE7A">
      <w:start w:val="1"/>
      <w:numFmt w:val="bullet"/>
      <w:lvlText w:val="▪"/>
      <w:lvlJc w:val="left"/>
      <w:pPr>
        <w:ind w:left="61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37"/>
    <w:rsid w:val="00744220"/>
    <w:rsid w:val="007807BB"/>
    <w:rsid w:val="00AD4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5C43"/>
  <w15:docId w15:val="{27691967-FC6A-46F2-A6E9-211E128B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69" w:lineRule="auto"/>
      <w:ind w:left="10" w:right="104" w:hanging="10"/>
      <w:jc w:val="both"/>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231"/>
      <w:ind w:left="10"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paragraph" w:customStyle="1" w:styleId="footnotedescription">
    <w:name w:val="footnote description"/>
    <w:next w:val="Normal"/>
    <w:link w:val="footnotedescriptionChar"/>
    <w:hidden/>
    <w:pPr>
      <w:spacing w:after="0" w:line="216" w:lineRule="auto"/>
      <w:ind w:right="178"/>
    </w:pPr>
    <w:rPr>
      <w:rFonts w:ascii="Arial" w:eastAsia="Arial" w:hAnsi="Arial" w:cs="Arial"/>
      <w:color w:val="777777"/>
      <w:sz w:val="18"/>
    </w:rPr>
  </w:style>
  <w:style w:type="character" w:customStyle="1" w:styleId="footnotedescriptionChar">
    <w:name w:val="footnote description Char"/>
    <w:link w:val="footnotedescription"/>
    <w:rPr>
      <w:rFonts w:ascii="Arial" w:eastAsia="Arial" w:hAnsi="Arial" w:cs="Arial"/>
      <w:color w:val="777777"/>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80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7BB"/>
    <w:rPr>
      <w:rFonts w:ascii="Arial" w:eastAsia="Arial" w:hAnsi="Arial" w:cs="Arial"/>
      <w:color w:val="000000"/>
      <w:sz w:val="23"/>
    </w:rPr>
  </w:style>
  <w:style w:type="paragraph" w:styleId="BalloonText">
    <w:name w:val="Balloon Text"/>
    <w:basedOn w:val="Normal"/>
    <w:link w:val="BalloonTextChar"/>
    <w:uiPriority w:val="99"/>
    <w:semiHidden/>
    <w:unhideWhenUsed/>
    <w:rsid w:val="00780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7B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epsi.co.uk/products/pepsi" TargetMode="External"/><Relationship Id="rId13" Type="http://schemas.openxmlformats.org/officeDocument/2006/relationships/image" Target="media/image2.jpg"/><Relationship Id="rId18" Type="http://schemas.openxmlformats.org/officeDocument/2006/relationships/hyperlink" Target="https://www.nhs.uk/change4life/"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bda.org/news-centre/blog/counting-the-cost-of-tooth-extractions" TargetMode="External"/><Relationship Id="rId17" Type="http://schemas.openxmlformats.org/officeDocument/2006/relationships/hyperlink" Target="https://www.nhs.uk/change4life/" TargetMode="External"/><Relationship Id="rId2" Type="http://schemas.openxmlformats.org/officeDocument/2006/relationships/styles" Target="styles.xml"/><Relationship Id="rId16" Type="http://schemas.openxmlformats.org/officeDocument/2006/relationships/image" Target="media/image30.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da.org/news-centre/blog/counting-the-cost-of-tooth-extractions" TargetMode="External"/><Relationship Id="rId5" Type="http://schemas.openxmlformats.org/officeDocument/2006/relationships/footnotes" Target="footnotes.xml"/><Relationship Id="rId15" Type="http://schemas.openxmlformats.org/officeDocument/2006/relationships/image" Target="media/image20.jpg"/><Relationship Id="rId23" Type="http://schemas.openxmlformats.org/officeDocument/2006/relationships/theme" Target="theme/theme1.xml"/><Relationship Id="rId10" Type="http://schemas.openxmlformats.org/officeDocument/2006/relationships/hyperlink" Target="https://www.bda.org/news-centre/blog/counting-the-cost-of-tooth-extractio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epsi.co.uk/products/pepsi" TargetMode="External"/><Relationship Id="rId14" Type="http://schemas.openxmlformats.org/officeDocument/2006/relationships/image" Target="media/image3.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Heather</dc:creator>
  <cp:keywords/>
  <cp:lastModifiedBy>Catherine Jones</cp:lastModifiedBy>
  <cp:revision>2</cp:revision>
  <cp:lastPrinted>2021-12-10T12:29:00Z</cp:lastPrinted>
  <dcterms:created xsi:type="dcterms:W3CDTF">2021-12-10T12:32:00Z</dcterms:created>
  <dcterms:modified xsi:type="dcterms:W3CDTF">2021-12-10T12:32:00Z</dcterms:modified>
</cp:coreProperties>
</file>